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0"/>
          <w:i w:val="1"/>
          <w:color w:val="005696"/>
          <w:sz w:val="22"/>
          <w:szCs w:val="22"/>
          <w:highlight w:val="white"/>
        </w:rPr>
      </w:pPr>
      <w:bookmarkStart w:colFirst="0" w:colLast="0" w:name="_heading=h.gjdgxs" w:id="0"/>
      <w:bookmarkEnd w:id="0"/>
      <w:r w:rsidDel="00000000" w:rsidR="00000000" w:rsidRPr="00000000">
        <w:rPr>
          <w:rFonts w:ascii="Arial" w:cs="Arial" w:eastAsia="Arial" w:hAnsi="Arial"/>
          <w:color w:val="2a55a0"/>
          <w:sz w:val="22"/>
          <w:szCs w:val="22"/>
        </w:rPr>
        <w:drawing>
          <wp:inline distB="114300" distT="114300" distL="114300" distR="114300">
            <wp:extent cx="688658" cy="561128"/>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8658" cy="5611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Fonts w:ascii="Arial Narrow" w:cs="Arial Narrow" w:eastAsia="Arial Narrow" w:hAnsi="Arial Narrow"/>
          <w:sz w:val="22"/>
          <w:szCs w:val="22"/>
          <w:rtl w:val="0"/>
        </w:rPr>
        <w:tab/>
        <w:tab/>
        <w:tab/>
        <w:tab/>
        <w:tab/>
        <w:tab/>
        <w:tab/>
        <w:tab/>
      </w: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Narrow" w:cs="Arial Narrow" w:eastAsia="Arial Narrow" w:hAnsi="Arial Narrow"/>
          <w:sz w:val="22"/>
          <w:szCs w:val="22"/>
          <w:rtl w:val="0"/>
        </w:rPr>
        <w:tab/>
        <w:t xml:space="preserve">                                                                                                                             </w:t>
      </w:r>
      <w:r w:rsidDel="00000000" w:rsidR="00000000" w:rsidRPr="00000000">
        <w:rPr>
          <w:rFonts w:ascii="Arial" w:cs="Arial" w:eastAsia="Arial" w:hAnsi="Arial"/>
          <w:sz w:val="22"/>
          <w:szCs w:val="22"/>
          <w:rtl w:val="0"/>
        </w:rPr>
        <w:t xml:space="preserve">October  2025</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Dear Parent/Family:</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Prince George’s County Public Schools (PGCPS) is pleased to inform you that your child will be taking the district’s Benchmark 1 Assessments. The purpose of these assessments is to measure what your child learned during the first quarter. The data gained from the Benchmark 1 assessments supports teachers with identifying instructional strategies and resources to meet the needs of each student.</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Benchmark 1 Assessments will take place beginning on October 27th and will go through November 19th. The Prince George’s County Public Schools Assessment and Reporting Platform (PARP) will be used to administer the Benchmark 1 Assessments. No grades will be assigned based on these assessment results. The results of the Benchmark 1 Assessments will be used by teachers and schools to enhance instruction on skills your child is learning in the classroom.  </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Benchmark 1 Assessments will cover the four major content areas of Mathematics, Reading/English/Language Arts (RELA), Science, and Social Studies. The Mathematics Benchmark assessments will be administered to students in grades 1-8, and select high school courses. The RELA  Benchmark assessments will be administered to students in grades 3 through 10. The Science Benchmark assessments will be administered to students in grades 5, 8, and High School Biology. Lastly, the Social Studies Benchmark will be administered to students in grade 8 and to students taking the  High School LSN Government course. </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 question about the test schedule or Benchmark 1 Assessments, please contact your child’s school. </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widowControl w:val="0"/>
        <w:spacing w:line="282.35279999999995" w:lineRule="auto"/>
        <w:ind w:left="0" w:firstLine="0"/>
        <w:rPr>
          <w:rFonts w:ascii="Arial" w:cs="Arial" w:eastAsia="Arial" w:hAnsi="Arial"/>
          <w:sz w:val="22"/>
          <w:szCs w:val="22"/>
        </w:rPr>
      </w:pPr>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oTjis93Q698DxMWbLPGyYSQgA==">CgMxLjAyCGguZ2pkZ3hzOAByITFpRGUyRFYyRXQ0OV9wNDBXWTU0dzJ2dGdKVm4wM19OQw==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