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i w:val="1"/>
          <w:color w:val="005696"/>
          <w:sz w:val="22"/>
          <w:szCs w:val="22"/>
          <w:highlight w:val="white"/>
        </w:rPr>
      </w:pPr>
      <w:bookmarkStart w:colFirst="0" w:colLast="0" w:name="_heading=h.gjdgxs" w:id="0"/>
      <w:bookmarkEnd w:id="0"/>
      <w:r w:rsidDel="00000000" w:rsidR="00000000" w:rsidRPr="00000000">
        <w:rPr>
          <w:color w:val="2a55a0"/>
          <w:sz w:val="22"/>
          <w:szCs w:val="22"/>
        </w:rPr>
        <w:drawing>
          <wp:inline distB="114300" distT="114300" distL="114300" distR="114300">
            <wp:extent cx="688658" cy="561128"/>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88658" cy="5611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sz w:val="22"/>
          <w:szCs w:val="22"/>
          <w:rtl w:val="0"/>
        </w:rPr>
        <w:tab/>
        <w:tab/>
        <w:tab/>
        <w:tab/>
        <w:tab/>
        <w:tab/>
        <w:tab/>
        <w:tab/>
      </w:r>
      <w:r w:rsidDel="00000000" w:rsidR="00000000" w:rsidRPr="00000000">
        <w:rPr>
          <w:rtl w:val="0"/>
        </w:rPr>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Narrow" w:cs="Arial Narrow" w:eastAsia="Arial Narrow" w:hAnsi="Arial Narrow"/>
          <w:sz w:val="22"/>
          <w:szCs w:val="22"/>
          <w:rtl w:val="0"/>
        </w:rPr>
        <w:tab/>
        <w:t xml:space="preserve">                                                                                                                             </w:t>
      </w:r>
      <w:r w:rsidDel="00000000" w:rsidR="00000000" w:rsidRPr="00000000">
        <w:rPr>
          <w:rFonts w:ascii="Arial" w:cs="Arial" w:eastAsia="Arial" w:hAnsi="Arial"/>
          <w:sz w:val="22"/>
          <w:szCs w:val="22"/>
          <w:rtl w:val="0"/>
        </w:rPr>
        <w:t xml:space="preserve">Octubre de 2025</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Estimado padre/familia:</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 sistema de las Escuelas Públicas del Condado de Prince George (PGCPS) le complace informarle que su estudiante tomará las evaluaciones de punto de referencia 1 del distrito. El objetivo de estas evaluaciones es medir lo que su estudiante aprendió durante el primer trimestre. Los datos que se obtienen de las evaluaciones de punto de referencia 1 ayudan a los maestros a identificar estrategias de enseñanza y recursos para satisfacer las necesidades de cada estudiante.</w:t>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Las evaluaciones de punto de referencia 1 se realizarán del 27 de octubre al 19 de noviembre. La Plataforma de Informes y Evaluación de las Escuelas Públicas del Condado de Prince George (PARP, por su sigla en inglés) se utilizará para administrar las evaluaciones de punto de referencia 1. No se asignarán calificaciones basadas en los resultados de estas evaluaciones. Los maestros y las escuelas utilizarán los resultados de las evaluaciones de punto de referencia 1 para mejorar la enseñanza de las habilidades que su estudiante está aprendiendo en el salón de clases.  </w:t>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Las evaluaciones de punto de referencia 1 cubrirán cuatro áreas de contenido principales de matemáticas, lectura/inglés/artes del idioma (RELA, por su sigla en inglés), ciencias y estudios sociales. Las evaluaciones de punto de referencia de matemáticas serán administradas a estudiantes de 1.º a 8.º grado y a cursos seleccionados de la escuela superior. Las evaluaciones de punto de referencia de RELA serán administradas a estudiantes de 3.º a 10.º grado. Las evaluaciones de punto de referencia de ciencias serán administradas a estudiantes de 5. º y 8. º grado y en la clase de Biología de la escuela superior. Por último, las evaluaciones de punto de referencia de estudios sociales serán administradas a 8. º grado, y a los estudiantes que cursan la clase de Gobierno local, estatal y nacional (LSN, por su sigla en inglés) de la escuela superior. </w:t>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tiene alguna pregunta acerca del horario del examen o sobre las evaluaciones de punto de referencia 1, por favor comuníquese con la escuela de su estudiante. </w:t>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widowControl w:val="0"/>
        <w:spacing w:line="282" w:lineRule="auto"/>
        <w:rPr>
          <w:rFonts w:ascii="Arial" w:cs="Arial" w:eastAsia="Arial" w:hAnsi="Arial"/>
          <w:sz w:val="22"/>
          <w:szCs w:val="22"/>
        </w:rPr>
      </w:pPr>
      <w:r w:rsidDel="00000000" w:rsidR="00000000" w:rsidRPr="00000000">
        <w:rPr>
          <w:rtl w:val="0"/>
        </w:rPr>
      </w:r>
    </w:p>
    <w:sectPr>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ZUaRhrkTwDMp/EQ8GJH5mlMv2w==">CgMxLjAyCGguZ2pkZ3hzOAByITFZM1NWUjVYS2lUaWs0ekxOM3pRZDNTQ2RRVGU0UFRGaQ==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2025-10-13T18:01:00Z</dcterms:created>
</cp:coreProperties>
</file>