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color w:val="005696"/>
          <w:sz w:val="22"/>
          <w:szCs w:val="22"/>
          <w:highlight w:val="white"/>
        </w:rPr>
      </w:pPr>
      <w:bookmarkStart w:colFirst="0" w:colLast="0" w:name="_heading=h.gjdgxs" w:id="0"/>
      <w:bookmarkEnd w:id="0"/>
      <w:r w:rsidDel="00000000" w:rsidR="00000000" w:rsidRPr="00000000">
        <w:rPr>
          <w:color w:val="2a55a0"/>
          <w:sz w:val="22"/>
          <w:szCs w:val="22"/>
        </w:rPr>
        <w:drawing>
          <wp:inline distB="114300" distT="114300" distL="114300" distR="114300">
            <wp:extent cx="688658" cy="56112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8658" cy="5611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sz w:val="22"/>
          <w:szCs w:val="22"/>
          <w:rtl w:val="0"/>
        </w:rPr>
        <w:tab/>
        <w:tab/>
        <w:tab/>
        <w:tab/>
        <w:tab/>
        <w:tab/>
        <w:tab/>
        <w:tab/>
      </w: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Narrow" w:cs="Arial Narrow" w:eastAsia="Arial Narrow" w:hAnsi="Arial Narrow"/>
          <w:sz w:val="22"/>
          <w:szCs w:val="22"/>
          <w:rtl w:val="0"/>
        </w:rPr>
        <w:tab/>
        <w:t xml:space="preserve">                                                                                                                             </w:t>
      </w:r>
      <w:r w:rsidDel="00000000" w:rsidR="00000000" w:rsidRPr="00000000">
        <w:rPr>
          <w:rFonts w:ascii="Arial" w:cs="Arial" w:eastAsia="Arial" w:hAnsi="Arial"/>
          <w:sz w:val="22"/>
          <w:szCs w:val="22"/>
          <w:rtl w:val="0"/>
        </w:rPr>
        <w:t xml:space="preserve">Octobre 2025</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Chers parents et familles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Les Écoles publiques du comté de Prince George (PGCPS) ont le plaisir de vous informer que votre enfant va passer les évaluations de référence 1 du district. Le but de ces évaluations est de mesurer ce que votre enfant a appris au cours du premier trimestre. Les données obtenues à partir des évaluations de référence 1 aident les enseignants à identifier les stratégies et ressources pédagogiques pour répondre aux besoins de chaque élève.</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Les évaluations de référence 1 auront lieu à partir du 27 octobre et se poursuivront jusqu'au 19 novembre. La plateforme d'évaluation et de rapport des Écoles publiques du comté de Prince George (PARP) sera utilisée pour administrer les évaluations de référence 1. Aucune note ne sera attribuée sur la base de ces résultats d'évaluation. Les résultats des évaluations de référence 1 seront utilisés par les enseignants et les écoles pour améliorer l'enseignement des compétences que votre enfant apprend en classe.  </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Les évaluations de référence 1 couvriront les quatre grands domaines de contenu suivants : Mathématiques, Lecture/Anglais/Arts du langage (RELA), Sciences et Études sociales. Les évaluations de référence en mathématiques seront administrées aux élèves de la 1</w:t>
      </w:r>
      <w:r w:rsidDel="00000000" w:rsidR="00000000" w:rsidRPr="00000000">
        <w:rPr>
          <w:rFonts w:ascii="Arial" w:cs="Arial" w:eastAsia="Arial" w:hAnsi="Arial"/>
          <w:sz w:val="22"/>
          <w:szCs w:val="22"/>
          <w:vertAlign w:val="superscript"/>
          <w:rtl w:val="0"/>
        </w:rPr>
        <w:t xml:space="preserve">ère </w:t>
      </w:r>
      <w:r w:rsidDel="00000000" w:rsidR="00000000" w:rsidRPr="00000000">
        <w:rPr>
          <w:rFonts w:ascii="Arial" w:cs="Arial" w:eastAsia="Arial" w:hAnsi="Arial"/>
          <w:sz w:val="22"/>
          <w:szCs w:val="22"/>
          <w:rtl w:val="0"/>
        </w:rPr>
        <w:t xml:space="preserve">à la 8e année et à certains cours du lycée. Les évaluations de référence du RELA seront administrées aux élèves de la 3e à la 10e année. Les évaluations de référence de science seront administrées aux élèves de la 5e, 8e année et de biologie de lycée. Enfin, les évaluations de référence pour les études sociales seront administrées aux élèves de la 8e année et à ceux qui suivent un cours de gouvernement LSN au lycée. </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vous avez des questions concernant le calendrier des tests ou les évaluations de référence 1, veuillez contacter l'école de votre enfant. </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0"/>
        <w:spacing w:line="282" w:lineRule="auto"/>
        <w:rPr>
          <w:rFonts w:ascii="Arial" w:cs="Arial" w:eastAsia="Arial" w:hAnsi="Arial"/>
          <w:sz w:val="22"/>
          <w:szCs w:val="22"/>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vXkgNTgVzPDfNAh2y8lIO0LUw==">CgMxLjAyCGguZ2pkZ3hzOAByITFhakhTcWdIX3pCOUcteWNUbHk5T0FPenFFdlhGYWJaTQ==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2025-10-13T17:58:00Z</dcterms:created>
</cp:coreProperties>
</file>